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20" w:rsidRDefault="0006103B" w:rsidP="000215E2">
      <w:pPr>
        <w:spacing w:after="0" w:line="240" w:lineRule="auto"/>
        <w:jc w:val="center"/>
        <w:rPr>
          <w:rFonts w:ascii="Verdana" w:eastAsia="Times New Roman" w:hAnsi="Verdana" w:cs="Times New Roman"/>
          <w:color w:val="000000"/>
          <w:sz w:val="56"/>
          <w:szCs w:val="56"/>
        </w:rPr>
      </w:pPr>
      <w:bookmarkStart w:id="0" w:name="_GoBack"/>
      <w:bookmarkEnd w:id="0"/>
      <w:r w:rsidRPr="000215E2">
        <w:rPr>
          <w:rFonts w:ascii="Verdana" w:eastAsia="Times New Roman" w:hAnsi="Verdana" w:cs="Times New Roman"/>
          <w:color w:val="000000"/>
          <w:sz w:val="56"/>
          <w:szCs w:val="56"/>
        </w:rPr>
        <w:t xml:space="preserve">Statistics for Common Core: </w:t>
      </w:r>
    </w:p>
    <w:p w:rsidR="0006103B" w:rsidRDefault="00F81720" w:rsidP="000215E2">
      <w:pPr>
        <w:spacing w:after="0" w:line="240" w:lineRule="auto"/>
        <w:jc w:val="center"/>
        <w:rPr>
          <w:rFonts w:ascii="Verdana" w:eastAsia="Times New Roman" w:hAnsi="Verdana" w:cs="Times New Roman"/>
          <w:color w:val="000000"/>
          <w:sz w:val="56"/>
          <w:szCs w:val="56"/>
        </w:rPr>
      </w:pPr>
      <w:r>
        <w:rPr>
          <w:rFonts w:ascii="Verdana" w:eastAsia="Times New Roman" w:hAnsi="Verdana" w:cs="Times New Roman"/>
          <w:color w:val="000000"/>
          <w:sz w:val="56"/>
          <w:szCs w:val="56"/>
        </w:rPr>
        <w:t>From Randomness to Inference</w:t>
      </w:r>
    </w:p>
    <w:p w:rsidR="000215E2" w:rsidRDefault="000215E2" w:rsidP="000215E2">
      <w:pPr>
        <w:spacing w:after="0" w:line="240" w:lineRule="auto"/>
        <w:jc w:val="center"/>
        <w:rPr>
          <w:rFonts w:ascii="Verdana" w:eastAsia="Times New Roman" w:hAnsi="Verdana" w:cs="Times New Roman"/>
          <w:color w:val="000000"/>
          <w:sz w:val="56"/>
          <w:szCs w:val="56"/>
        </w:rPr>
      </w:pPr>
    </w:p>
    <w:p w:rsidR="000215E2" w:rsidRPr="000215E2" w:rsidRDefault="000215E2" w:rsidP="000215E2">
      <w:pPr>
        <w:spacing w:after="0" w:line="240" w:lineRule="auto"/>
        <w:jc w:val="center"/>
        <w:rPr>
          <w:rFonts w:ascii="Verdana" w:eastAsia="Times New Roman" w:hAnsi="Verdana" w:cs="Times New Roman"/>
          <w:color w:val="000000"/>
          <w:sz w:val="36"/>
          <w:szCs w:val="36"/>
        </w:rPr>
      </w:pPr>
      <w:r w:rsidRPr="000215E2">
        <w:rPr>
          <w:rFonts w:ascii="Verdana" w:eastAsia="Times New Roman" w:hAnsi="Verdana" w:cs="Times New Roman"/>
          <w:color w:val="000000"/>
          <w:sz w:val="36"/>
          <w:szCs w:val="36"/>
        </w:rPr>
        <w:t>Daren Starnes</w:t>
      </w:r>
    </w:p>
    <w:p w:rsidR="000215E2" w:rsidRPr="000215E2" w:rsidRDefault="000215E2" w:rsidP="000215E2">
      <w:pPr>
        <w:spacing w:after="0" w:line="240" w:lineRule="auto"/>
        <w:jc w:val="center"/>
        <w:rPr>
          <w:rFonts w:ascii="Verdana" w:eastAsia="Times New Roman" w:hAnsi="Verdana" w:cs="Times New Roman"/>
          <w:color w:val="000000"/>
          <w:sz w:val="36"/>
          <w:szCs w:val="36"/>
        </w:rPr>
      </w:pPr>
      <w:r w:rsidRPr="000215E2">
        <w:rPr>
          <w:rFonts w:ascii="Verdana" w:eastAsia="Times New Roman" w:hAnsi="Verdana" w:cs="Times New Roman"/>
          <w:color w:val="000000"/>
          <w:sz w:val="36"/>
          <w:szCs w:val="36"/>
        </w:rPr>
        <w:t>The Lawrenceville School</w:t>
      </w:r>
    </w:p>
    <w:p w:rsidR="000215E2" w:rsidRDefault="00B87080" w:rsidP="000215E2">
      <w:pPr>
        <w:spacing w:after="0" w:line="240" w:lineRule="auto"/>
        <w:jc w:val="center"/>
        <w:rPr>
          <w:rFonts w:ascii="Verdana" w:eastAsia="Times New Roman" w:hAnsi="Verdana" w:cs="Times New Roman"/>
          <w:color w:val="000000"/>
          <w:sz w:val="36"/>
          <w:szCs w:val="36"/>
        </w:rPr>
      </w:pPr>
      <w:hyperlink r:id="rId6" w:history="1">
        <w:r w:rsidR="000215E2" w:rsidRPr="00603809">
          <w:rPr>
            <w:rStyle w:val="Hyperlink"/>
            <w:rFonts w:ascii="Verdana" w:eastAsia="Times New Roman" w:hAnsi="Verdana" w:cs="Times New Roman"/>
            <w:sz w:val="36"/>
            <w:szCs w:val="36"/>
          </w:rPr>
          <w:t>dstarnes@lawrenceville.org</w:t>
        </w:r>
      </w:hyperlink>
    </w:p>
    <w:p w:rsidR="000215E2" w:rsidRDefault="000215E2" w:rsidP="000215E2">
      <w:pPr>
        <w:spacing w:after="0" w:line="240" w:lineRule="auto"/>
        <w:jc w:val="center"/>
        <w:rPr>
          <w:rFonts w:ascii="Verdana" w:eastAsia="Times New Roman" w:hAnsi="Verdana" w:cs="Times New Roman"/>
          <w:color w:val="000000"/>
          <w:sz w:val="36"/>
          <w:szCs w:val="36"/>
        </w:rPr>
      </w:pPr>
    </w:p>
    <w:p w:rsidR="000215E2" w:rsidRPr="000215E2" w:rsidRDefault="00F81720" w:rsidP="000215E2">
      <w:pPr>
        <w:spacing w:after="0" w:line="240" w:lineRule="auto"/>
        <w:jc w:val="center"/>
        <w:rPr>
          <w:rFonts w:ascii="Verdana" w:eastAsia="Times New Roman" w:hAnsi="Verdana" w:cs="Times New Roman"/>
          <w:color w:val="000000"/>
          <w:sz w:val="36"/>
          <w:szCs w:val="36"/>
        </w:rPr>
      </w:pPr>
      <w:r>
        <w:rPr>
          <w:rFonts w:ascii="Verdana" w:eastAsia="Times New Roman" w:hAnsi="Verdana" w:cs="Times New Roman"/>
          <w:color w:val="000000"/>
          <w:sz w:val="36"/>
          <w:szCs w:val="36"/>
        </w:rPr>
        <w:t>CMC South 2013</w:t>
      </w:r>
    </w:p>
    <w:p w:rsidR="007D1C1A" w:rsidRDefault="007D1C1A">
      <w:pPr>
        <w:pBdr>
          <w:bottom w:val="dotted" w:sz="24" w:space="1" w:color="auto"/>
        </w:pBdr>
      </w:pPr>
    </w:p>
    <w:p w:rsidR="000215E2" w:rsidRPr="000215E2" w:rsidRDefault="000215E2" w:rsidP="000215E2">
      <w:pPr>
        <w:autoSpaceDE w:val="0"/>
        <w:autoSpaceDN w:val="0"/>
        <w:adjustRightInd w:val="0"/>
        <w:spacing w:after="0" w:line="240" w:lineRule="auto"/>
        <w:jc w:val="center"/>
        <w:rPr>
          <w:rFonts w:ascii="Gotham-Medium" w:hAnsi="Gotham-Medium" w:cs="Gotham-Medium"/>
          <w:sz w:val="28"/>
          <w:szCs w:val="28"/>
        </w:rPr>
      </w:pPr>
      <w:r w:rsidRPr="000215E2">
        <w:rPr>
          <w:rFonts w:ascii="Gotham-Medium" w:hAnsi="Gotham-Medium" w:cs="Gotham-Medium"/>
          <w:sz w:val="28"/>
          <w:szCs w:val="28"/>
        </w:rPr>
        <w:t>Common Core State Standards in Mathematics</w:t>
      </w:r>
    </w:p>
    <w:p w:rsidR="000215E2" w:rsidRDefault="000215E2" w:rsidP="0006103B">
      <w:pPr>
        <w:autoSpaceDE w:val="0"/>
        <w:autoSpaceDN w:val="0"/>
        <w:adjustRightInd w:val="0"/>
        <w:spacing w:after="0" w:line="240" w:lineRule="auto"/>
        <w:rPr>
          <w:rFonts w:ascii="Gotham-Medium" w:hAnsi="Gotham-Medium" w:cs="Gotham-Medium"/>
          <w:sz w:val="24"/>
          <w:szCs w:val="24"/>
        </w:rPr>
      </w:pPr>
    </w:p>
    <w:p w:rsidR="0006103B" w:rsidRPr="000215E2" w:rsidRDefault="0006103B" w:rsidP="0006103B">
      <w:pPr>
        <w:autoSpaceDE w:val="0"/>
        <w:autoSpaceDN w:val="0"/>
        <w:adjustRightInd w:val="0"/>
        <w:spacing w:after="0" w:line="240" w:lineRule="auto"/>
        <w:rPr>
          <w:rFonts w:ascii="Gotham-Medium" w:hAnsi="Gotham-Medium" w:cs="Gotham-Medium"/>
          <w:sz w:val="24"/>
          <w:szCs w:val="24"/>
        </w:rPr>
      </w:pPr>
      <w:r w:rsidRPr="000215E2">
        <w:rPr>
          <w:rFonts w:ascii="Gotham-Medium" w:hAnsi="Gotham-Medium" w:cs="Gotham-Medium"/>
          <w:sz w:val="24"/>
          <w:szCs w:val="24"/>
        </w:rPr>
        <w:t>Making Inferences and Justifying Conclusions S-IC</w:t>
      </w:r>
    </w:p>
    <w:p w:rsidR="000215E2" w:rsidRDefault="000215E2" w:rsidP="0006103B">
      <w:pPr>
        <w:autoSpaceDE w:val="0"/>
        <w:autoSpaceDN w:val="0"/>
        <w:adjustRightInd w:val="0"/>
        <w:spacing w:after="0" w:line="240" w:lineRule="auto"/>
        <w:rPr>
          <w:rFonts w:ascii="Gotham-Bold" w:hAnsi="Gotham-Bold" w:cs="Gotham-Bold"/>
          <w:b/>
          <w:bCs/>
          <w:sz w:val="18"/>
          <w:szCs w:val="18"/>
        </w:rPr>
      </w:pPr>
    </w:p>
    <w:p w:rsidR="0006103B" w:rsidRPr="000215E2" w:rsidRDefault="0006103B" w:rsidP="0006103B">
      <w:pPr>
        <w:autoSpaceDE w:val="0"/>
        <w:autoSpaceDN w:val="0"/>
        <w:adjustRightInd w:val="0"/>
        <w:spacing w:after="0" w:line="240" w:lineRule="auto"/>
        <w:rPr>
          <w:rFonts w:ascii="Gotham-Bold" w:hAnsi="Gotham-Bold" w:cs="Gotham-Bold"/>
          <w:b/>
          <w:bCs/>
          <w:sz w:val="20"/>
          <w:szCs w:val="20"/>
        </w:rPr>
      </w:pPr>
      <w:r w:rsidRPr="000215E2">
        <w:rPr>
          <w:rFonts w:ascii="Gotham-Bold" w:hAnsi="Gotham-Bold" w:cs="Gotham-Bold"/>
          <w:b/>
          <w:bCs/>
          <w:sz w:val="20"/>
          <w:szCs w:val="20"/>
        </w:rPr>
        <w:t>Understand and evaluate random processes underlying statistical experiments</w:t>
      </w:r>
    </w:p>
    <w:p w:rsidR="0006103B" w:rsidRPr="000215E2" w:rsidRDefault="0006103B" w:rsidP="0006103B">
      <w:pPr>
        <w:autoSpaceDE w:val="0"/>
        <w:autoSpaceDN w:val="0"/>
        <w:adjustRightInd w:val="0"/>
        <w:spacing w:after="0" w:line="240" w:lineRule="auto"/>
        <w:rPr>
          <w:rFonts w:ascii="Times New Roman" w:eastAsia="Gotham-Book" w:hAnsi="Times New Roman" w:cs="Times New Roman"/>
        </w:rPr>
      </w:pPr>
      <w:r w:rsidRPr="000215E2">
        <w:rPr>
          <w:rFonts w:ascii="Times New Roman" w:eastAsia="Gotham-Book" w:hAnsi="Times New Roman" w:cs="Times New Roman"/>
        </w:rPr>
        <w:t>1. Understand statistics as a process for making inferences about population parameters based on a random sample from that population.</w:t>
      </w:r>
    </w:p>
    <w:p w:rsidR="0006103B" w:rsidRPr="000215E2" w:rsidRDefault="0006103B" w:rsidP="0006103B">
      <w:pPr>
        <w:autoSpaceDE w:val="0"/>
        <w:autoSpaceDN w:val="0"/>
        <w:adjustRightInd w:val="0"/>
        <w:spacing w:after="0" w:line="240" w:lineRule="auto"/>
        <w:rPr>
          <w:rFonts w:ascii="Gotham-Book" w:eastAsia="Gotham-Book" w:hAnsi="Gotham-Medium" w:cs="Gotham-Book"/>
          <w:sz w:val="20"/>
          <w:szCs w:val="20"/>
        </w:rPr>
      </w:pPr>
      <w:r w:rsidRPr="000215E2">
        <w:rPr>
          <w:rFonts w:ascii="Times New Roman" w:eastAsia="Gotham-Book" w:hAnsi="Times New Roman" w:cs="Times New Roman"/>
        </w:rPr>
        <w:t>2. Decide if a specified model is consistent with results from a given data-generating process, e.g., using simulation.</w:t>
      </w:r>
      <w:r w:rsidRPr="000215E2">
        <w:rPr>
          <w:rFonts w:ascii="Gotham-Book" w:eastAsia="Gotham-Book" w:hAnsi="Gotham-Medium" w:cs="Gotham-Book"/>
          <w:sz w:val="24"/>
          <w:szCs w:val="24"/>
        </w:rPr>
        <w:t xml:space="preserve"> </w:t>
      </w:r>
      <w:r w:rsidRPr="000215E2">
        <w:rPr>
          <w:rFonts w:ascii="Gotham-BookItalic" w:hAnsi="Gotham-BookItalic" w:cs="Gotham-BookItalic"/>
          <w:i/>
          <w:iCs/>
          <w:sz w:val="20"/>
          <w:szCs w:val="20"/>
        </w:rPr>
        <w:t>For example,</w:t>
      </w:r>
      <w:r w:rsidR="000215E2">
        <w:rPr>
          <w:rFonts w:ascii="Gotham-BookItalic" w:hAnsi="Gotham-BookItalic" w:cs="Gotham-BookItalic"/>
          <w:i/>
          <w:iCs/>
          <w:sz w:val="20"/>
          <w:szCs w:val="20"/>
        </w:rPr>
        <w:t xml:space="preserve"> </w:t>
      </w:r>
      <w:r w:rsidRPr="000215E2">
        <w:rPr>
          <w:rFonts w:ascii="Gotham-BookItalic" w:hAnsi="Gotham-BookItalic" w:cs="Gotham-BookItalic"/>
          <w:i/>
          <w:iCs/>
          <w:sz w:val="20"/>
          <w:szCs w:val="20"/>
        </w:rPr>
        <w:t>a model</w:t>
      </w:r>
      <w:r w:rsidRPr="000215E2">
        <w:rPr>
          <w:rFonts w:ascii="Gotham-Book" w:eastAsia="Gotham-Book" w:hAnsi="Gotham-Medium" w:cs="Gotham-Book"/>
          <w:sz w:val="20"/>
          <w:szCs w:val="20"/>
        </w:rPr>
        <w:t xml:space="preserve"> </w:t>
      </w:r>
      <w:r w:rsidRPr="000215E2">
        <w:rPr>
          <w:rFonts w:ascii="Gotham-BookItalic" w:hAnsi="Gotham-BookItalic" w:cs="Gotham-BookItalic"/>
          <w:i/>
          <w:iCs/>
          <w:sz w:val="20"/>
          <w:szCs w:val="20"/>
        </w:rPr>
        <w:t xml:space="preserve">says a spinning coin </w:t>
      </w:r>
      <w:proofErr w:type="gramStart"/>
      <w:r w:rsidRPr="000215E2">
        <w:rPr>
          <w:rFonts w:ascii="Gotham-BookItalic" w:hAnsi="Gotham-BookItalic" w:cs="Gotham-BookItalic"/>
          <w:i/>
          <w:iCs/>
          <w:sz w:val="20"/>
          <w:szCs w:val="20"/>
        </w:rPr>
        <w:t>falls</w:t>
      </w:r>
      <w:proofErr w:type="gramEnd"/>
      <w:r w:rsidRPr="000215E2">
        <w:rPr>
          <w:rFonts w:ascii="Gotham-BookItalic" w:hAnsi="Gotham-BookItalic" w:cs="Gotham-BookItalic"/>
          <w:i/>
          <w:iCs/>
          <w:sz w:val="20"/>
          <w:szCs w:val="20"/>
        </w:rPr>
        <w:t xml:space="preserve"> heads up with probability 0.5. Would a result of 5</w:t>
      </w:r>
      <w:r w:rsidRPr="000215E2">
        <w:rPr>
          <w:rFonts w:ascii="Gotham-Book" w:eastAsia="Gotham-Book" w:hAnsi="Gotham-Medium" w:cs="Gotham-Book"/>
          <w:sz w:val="20"/>
          <w:szCs w:val="20"/>
        </w:rPr>
        <w:t xml:space="preserve"> </w:t>
      </w:r>
      <w:r w:rsidRPr="000215E2">
        <w:rPr>
          <w:rFonts w:ascii="Gotham-BookItalic" w:hAnsi="Gotham-BookItalic" w:cs="Gotham-BookItalic"/>
          <w:i/>
          <w:iCs/>
          <w:sz w:val="20"/>
          <w:szCs w:val="20"/>
        </w:rPr>
        <w:t>tails in a row cause you to question the model?</w:t>
      </w:r>
    </w:p>
    <w:p w:rsidR="0006103B" w:rsidRDefault="0006103B" w:rsidP="0006103B">
      <w:pPr>
        <w:autoSpaceDE w:val="0"/>
        <w:autoSpaceDN w:val="0"/>
        <w:adjustRightInd w:val="0"/>
        <w:spacing w:after="0" w:line="240" w:lineRule="auto"/>
        <w:rPr>
          <w:rFonts w:ascii="Gotham-Bold" w:hAnsi="Gotham-Bold" w:cs="Gotham-Bold"/>
          <w:b/>
          <w:bCs/>
          <w:sz w:val="18"/>
          <w:szCs w:val="18"/>
        </w:rPr>
      </w:pPr>
    </w:p>
    <w:p w:rsidR="0006103B" w:rsidRPr="000215E2" w:rsidRDefault="0006103B" w:rsidP="0006103B">
      <w:pPr>
        <w:autoSpaceDE w:val="0"/>
        <w:autoSpaceDN w:val="0"/>
        <w:adjustRightInd w:val="0"/>
        <w:spacing w:after="0" w:line="240" w:lineRule="auto"/>
        <w:rPr>
          <w:rFonts w:ascii="Gotham-Bold" w:hAnsi="Gotham-Bold" w:cs="Gotham-Bold"/>
          <w:b/>
          <w:bCs/>
          <w:sz w:val="20"/>
          <w:szCs w:val="20"/>
        </w:rPr>
      </w:pPr>
      <w:r w:rsidRPr="000215E2">
        <w:rPr>
          <w:rFonts w:ascii="Gotham-Bold" w:hAnsi="Gotham-Bold" w:cs="Gotham-Bold"/>
          <w:b/>
          <w:bCs/>
          <w:sz w:val="20"/>
          <w:szCs w:val="20"/>
        </w:rPr>
        <w:t>Make inferences and justify conclusions from sample surveys, experiments, and observational studies</w:t>
      </w:r>
    </w:p>
    <w:p w:rsidR="0006103B" w:rsidRPr="000215E2" w:rsidRDefault="0006103B" w:rsidP="0006103B">
      <w:pPr>
        <w:autoSpaceDE w:val="0"/>
        <w:autoSpaceDN w:val="0"/>
        <w:adjustRightInd w:val="0"/>
        <w:spacing w:after="0" w:line="240" w:lineRule="auto"/>
        <w:rPr>
          <w:rFonts w:ascii="Times New Roman" w:eastAsia="Gotham-Book" w:hAnsi="Times New Roman" w:cs="Times New Roman"/>
        </w:rPr>
      </w:pPr>
      <w:r w:rsidRPr="000215E2">
        <w:rPr>
          <w:rFonts w:ascii="Times New Roman" w:eastAsia="Gotham-Book" w:hAnsi="Times New Roman" w:cs="Times New Roman"/>
        </w:rPr>
        <w:t>3. Recognize the purposes of and differences among sample surveys, experiments, and observational studies; explain how randomization relates to each.</w:t>
      </w:r>
    </w:p>
    <w:p w:rsidR="0006103B" w:rsidRPr="000215E2" w:rsidRDefault="0006103B" w:rsidP="0006103B">
      <w:pPr>
        <w:spacing w:after="0" w:line="240" w:lineRule="auto"/>
        <w:rPr>
          <w:rFonts w:ascii="Times New Roman" w:eastAsia="Gotham-Book" w:hAnsi="Times New Roman" w:cs="Times New Roman"/>
        </w:rPr>
      </w:pPr>
      <w:r w:rsidRPr="000215E2">
        <w:rPr>
          <w:rFonts w:ascii="Times New Roman" w:eastAsia="Gotham-Book" w:hAnsi="Times New Roman" w:cs="Times New Roman"/>
        </w:rPr>
        <w:t>4. Use data from a sample survey to estimate a population mean or proportion; develop a margin of error through the use of simulation models for random sampling.</w:t>
      </w:r>
    </w:p>
    <w:p w:rsidR="0006103B" w:rsidRPr="000215E2" w:rsidRDefault="0006103B" w:rsidP="0006103B">
      <w:pPr>
        <w:spacing w:after="0" w:line="240" w:lineRule="auto"/>
        <w:rPr>
          <w:rFonts w:ascii="Times New Roman" w:eastAsia="Gotham-Book" w:hAnsi="Times New Roman" w:cs="Times New Roman"/>
        </w:rPr>
      </w:pPr>
      <w:r w:rsidRPr="000215E2">
        <w:rPr>
          <w:rFonts w:ascii="Times New Roman" w:eastAsia="Gotham-Book" w:hAnsi="Times New Roman" w:cs="Times New Roman"/>
        </w:rPr>
        <w:t>5. Use data from a randomized experiment to compare two treatments; use simulations to decide if differences between parameters are significant.</w:t>
      </w:r>
    </w:p>
    <w:p w:rsidR="0006103B" w:rsidRPr="000215E2" w:rsidRDefault="0006103B" w:rsidP="0006103B">
      <w:pPr>
        <w:spacing w:after="0" w:line="240" w:lineRule="auto"/>
        <w:rPr>
          <w:rFonts w:ascii="Times New Roman" w:hAnsi="Times New Roman" w:cs="Times New Roman"/>
        </w:rPr>
      </w:pPr>
      <w:r w:rsidRPr="000215E2">
        <w:rPr>
          <w:rFonts w:ascii="Times New Roman" w:eastAsia="Gotham-Book" w:hAnsi="Times New Roman" w:cs="Times New Roman"/>
        </w:rPr>
        <w:t>6. Evaluate reports based on data.</w:t>
      </w:r>
    </w:p>
    <w:p w:rsidR="00924262" w:rsidRDefault="00924262" w:rsidP="00924262">
      <w:pPr>
        <w:pBdr>
          <w:bottom w:val="dotted" w:sz="24" w:space="1" w:color="auto"/>
        </w:pBdr>
        <w:spacing w:after="0" w:line="240" w:lineRule="auto"/>
        <w:jc w:val="center"/>
        <w:rPr>
          <w:rFonts w:ascii="Times New Roman" w:eastAsia="Times New Roman" w:hAnsi="Times New Roman" w:cs="Times New Roman"/>
          <w:sz w:val="24"/>
          <w:szCs w:val="24"/>
        </w:rPr>
      </w:pPr>
    </w:p>
    <w:p w:rsidR="000215E2" w:rsidRDefault="000215E2" w:rsidP="00924262">
      <w:pPr>
        <w:spacing w:after="0" w:line="240" w:lineRule="auto"/>
        <w:jc w:val="center"/>
        <w:rPr>
          <w:rFonts w:ascii="Times New Roman" w:eastAsia="Times New Roman" w:hAnsi="Times New Roman" w:cs="Times New Roman"/>
          <w:sz w:val="24"/>
          <w:szCs w:val="24"/>
        </w:rPr>
      </w:pPr>
    </w:p>
    <w:p w:rsidR="00EE7685" w:rsidRPr="00EE7685" w:rsidRDefault="00EE7685" w:rsidP="00EE7685">
      <w:pPr>
        <w:spacing w:line="240" w:lineRule="auto"/>
        <w:rPr>
          <w:rFonts w:cs="Times New Roman"/>
          <w:b/>
          <w:sz w:val="28"/>
          <w:szCs w:val="28"/>
        </w:rPr>
      </w:pPr>
      <w:r w:rsidRPr="00EE7685">
        <w:rPr>
          <w:rFonts w:cs="Times New Roman"/>
          <w:b/>
          <w:sz w:val="28"/>
          <w:szCs w:val="28"/>
        </w:rPr>
        <w:t>Activity #1: Red, White, and You</w:t>
      </w:r>
      <w:r w:rsidRPr="00EE7685">
        <w:rPr>
          <w:rFonts w:cs="Times New Roman"/>
          <w:b/>
          <w:sz w:val="28"/>
          <w:szCs w:val="28"/>
        </w:rPr>
        <w:tab/>
      </w:r>
      <w:r w:rsidRPr="00EE7685">
        <w:rPr>
          <w:rFonts w:cs="Times New Roman"/>
          <w:b/>
          <w:sz w:val="28"/>
          <w:szCs w:val="28"/>
        </w:rPr>
        <w:tab/>
      </w:r>
      <w:r w:rsidRPr="00EE7685">
        <w:rPr>
          <w:rFonts w:cs="Times New Roman"/>
          <w:b/>
          <w:sz w:val="28"/>
          <w:szCs w:val="28"/>
        </w:rPr>
        <w:tab/>
      </w:r>
      <w:r w:rsidRPr="00EE7685">
        <w:rPr>
          <w:rFonts w:cs="Times New Roman"/>
          <w:b/>
          <w:sz w:val="28"/>
          <w:szCs w:val="28"/>
        </w:rPr>
        <w:tab/>
        <w:t>Inference for Sampling</w:t>
      </w:r>
    </w:p>
    <w:p w:rsidR="00EE7685" w:rsidRDefault="00EE7685" w:rsidP="00EE7685">
      <w:pPr>
        <w:spacing w:line="240" w:lineRule="auto"/>
        <w:rPr>
          <w:rFonts w:ascii="Times New Roman" w:hAnsi="Times New Roman" w:cs="Times New Roman"/>
          <w:sz w:val="24"/>
          <w:szCs w:val="24"/>
        </w:rPr>
      </w:pPr>
      <w:r>
        <w:rPr>
          <w:rFonts w:ascii="Times New Roman" w:hAnsi="Times New Roman" w:cs="Times New Roman"/>
          <w:sz w:val="24"/>
          <w:szCs w:val="24"/>
          <w:u w:val="single"/>
        </w:rPr>
        <w:t>Goal:</w:t>
      </w:r>
      <w:r>
        <w:rPr>
          <w:rFonts w:ascii="Times New Roman" w:hAnsi="Times New Roman" w:cs="Times New Roman"/>
          <w:sz w:val="24"/>
          <w:szCs w:val="24"/>
        </w:rPr>
        <w:t xml:space="preserve"> To estimate the true proportion </w:t>
      </w:r>
      <w:r>
        <w:rPr>
          <w:rFonts w:ascii="Times New Roman" w:hAnsi="Times New Roman" w:cs="Times New Roman"/>
          <w:i/>
          <w:sz w:val="24"/>
          <w:szCs w:val="24"/>
        </w:rPr>
        <w:t>p</w:t>
      </w:r>
      <w:r>
        <w:rPr>
          <w:rFonts w:ascii="Times New Roman" w:hAnsi="Times New Roman" w:cs="Times New Roman"/>
          <w:sz w:val="24"/>
          <w:szCs w:val="24"/>
        </w:rPr>
        <w:t xml:space="preserve"> of red beads in the container with 95% confidence.</w:t>
      </w:r>
    </w:p>
    <w:p w:rsidR="00EE7685" w:rsidRDefault="00EE7685" w:rsidP="00EE7685">
      <w:pPr>
        <w:spacing w:line="240" w:lineRule="auto"/>
        <w:rPr>
          <w:rFonts w:ascii="Times New Roman" w:hAnsi="Times New Roman" w:cs="Times New Roman"/>
          <w:sz w:val="24"/>
          <w:szCs w:val="24"/>
        </w:rPr>
      </w:pPr>
      <w:r>
        <w:rPr>
          <w:rFonts w:ascii="Times New Roman" w:hAnsi="Times New Roman" w:cs="Times New Roman"/>
          <w:sz w:val="24"/>
          <w:szCs w:val="24"/>
        </w:rPr>
        <w:t>I. How will we collect the data?  What potential pitfalls do we need to avoid?</w:t>
      </w:r>
      <w:r>
        <w:rPr>
          <w:rFonts w:ascii="Times New Roman" w:hAnsi="Times New Roman" w:cs="Times New Roman"/>
          <w:sz w:val="24"/>
          <w:szCs w:val="24"/>
        </w:rPr>
        <w:tab/>
      </w:r>
      <w:r>
        <w:rPr>
          <w:rFonts w:ascii="Times New Roman" w:hAnsi="Times New Roman" w:cs="Times New Roman"/>
          <w:sz w:val="24"/>
          <w:szCs w:val="24"/>
        </w:rPr>
        <w:tab/>
      </w: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II. Data collection and analysis</w:t>
      </w: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r>
        <w:rPr>
          <w:rFonts w:ascii="Times New Roman" w:hAnsi="Times New Roman" w:cs="Times New Roman"/>
          <w:sz w:val="24"/>
          <w:szCs w:val="24"/>
        </w:rPr>
        <w:t>III. Making an inference</w:t>
      </w:r>
    </w:p>
    <w:p w:rsidR="00EE7685" w:rsidRDefault="00EE7685" w:rsidP="00EE768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our “best guess” at the value of </w:t>
      </w:r>
      <w:r>
        <w:rPr>
          <w:rFonts w:ascii="Times New Roman" w:hAnsi="Times New Roman" w:cs="Times New Roman"/>
          <w:i/>
          <w:sz w:val="24"/>
          <w:szCs w:val="24"/>
        </w:rPr>
        <w:t>p</w:t>
      </w:r>
      <w:r>
        <w:rPr>
          <w:rFonts w:ascii="Times New Roman" w:hAnsi="Times New Roman" w:cs="Times New Roman"/>
          <w:sz w:val="24"/>
          <w:szCs w:val="24"/>
        </w:rPr>
        <w:t xml:space="preserve"> based on the data?  This is our </w:t>
      </w:r>
      <w:r w:rsidRPr="00FC758A">
        <w:rPr>
          <w:rFonts w:ascii="Times New Roman" w:hAnsi="Times New Roman" w:cs="Times New Roman"/>
          <w:i/>
          <w:sz w:val="24"/>
          <w:szCs w:val="24"/>
        </w:rPr>
        <w:t>point estimate</w:t>
      </w:r>
      <w:r>
        <w:rPr>
          <w:rFonts w:ascii="Times New Roman" w:hAnsi="Times New Roman" w:cs="Times New Roman"/>
          <w:sz w:val="24"/>
          <w:szCs w:val="24"/>
        </w:rPr>
        <w:t>.</w:t>
      </w: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close does the sample result tend to be to the true population value in random samples of this size?  To find out, let’s do a simulation.</w:t>
      </w: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spacing w:line="240" w:lineRule="auto"/>
        <w:rPr>
          <w:rFonts w:ascii="Times New Roman" w:hAnsi="Times New Roman" w:cs="Times New Roman"/>
          <w:sz w:val="24"/>
          <w:szCs w:val="24"/>
        </w:rPr>
      </w:pPr>
    </w:p>
    <w:p w:rsidR="00EE7685" w:rsidRDefault="00EE7685" w:rsidP="00EE768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Conclusion:</w:t>
      </w:r>
    </w:p>
    <w:p w:rsidR="00EE7685" w:rsidRDefault="00EE7685" w:rsidP="00EE7685">
      <w:pPr>
        <w:rPr>
          <w:rFonts w:ascii="Times New Roman" w:hAnsi="Times New Roman" w:cs="Times New Roman"/>
          <w:sz w:val="24"/>
          <w:szCs w:val="24"/>
        </w:rPr>
      </w:pPr>
      <w:r>
        <w:rPr>
          <w:rFonts w:ascii="Times New Roman" w:hAnsi="Times New Roman" w:cs="Times New Roman"/>
          <w:sz w:val="24"/>
          <w:szCs w:val="24"/>
        </w:rPr>
        <w:br w:type="page"/>
      </w:r>
    </w:p>
    <w:p w:rsidR="00CE1D64" w:rsidRDefault="00CE1D64" w:rsidP="00CE1D64">
      <w:pPr>
        <w:spacing w:after="0"/>
        <w:rPr>
          <w:b/>
          <w:sz w:val="28"/>
          <w:szCs w:val="28"/>
        </w:rPr>
      </w:pPr>
      <w:r>
        <w:rPr>
          <w:b/>
          <w:sz w:val="28"/>
          <w:szCs w:val="28"/>
        </w:rPr>
        <w:lastRenderedPageBreak/>
        <w:t>Activity #2</w:t>
      </w:r>
      <w:r w:rsidR="00EE7685">
        <w:rPr>
          <w:b/>
          <w:sz w:val="28"/>
          <w:szCs w:val="28"/>
        </w:rPr>
        <w:t>: Do subliminal messages work?</w:t>
      </w:r>
      <w:r w:rsidR="00EE7685">
        <w:rPr>
          <w:b/>
          <w:sz w:val="28"/>
          <w:szCs w:val="28"/>
        </w:rPr>
        <w:tab/>
      </w:r>
      <w:r w:rsidR="00EE7685">
        <w:rPr>
          <w:b/>
          <w:sz w:val="28"/>
          <w:szCs w:val="28"/>
        </w:rPr>
        <w:tab/>
      </w:r>
      <w:r w:rsidR="00EE7685">
        <w:rPr>
          <w:b/>
          <w:sz w:val="28"/>
          <w:szCs w:val="28"/>
        </w:rPr>
        <w:tab/>
        <w:t>Inference for experiments</w:t>
      </w:r>
    </w:p>
    <w:p w:rsidR="00EE7685" w:rsidRPr="00EE7685" w:rsidRDefault="00EE7685" w:rsidP="00EE7685">
      <w:pPr>
        <w:spacing w:after="0" w:line="240" w:lineRule="auto"/>
        <w:rPr>
          <w:rFonts w:ascii="Times New Roman" w:eastAsia="Times New Roman" w:hAnsi="Times New Roman" w:cs="Times New Roman"/>
          <w:sz w:val="20"/>
          <w:szCs w:val="20"/>
        </w:rPr>
      </w:pPr>
      <w:r w:rsidRPr="00EE7685">
        <w:rPr>
          <w:rFonts w:ascii="Times New Roman" w:eastAsia="Times New Roman" w:hAnsi="Times New Roman" w:cs="Times New Roman"/>
          <w:sz w:val="20"/>
          <w:szCs w:val="20"/>
        </w:rPr>
        <w:t xml:space="preserve">From </w:t>
      </w:r>
      <w:r w:rsidRPr="00EE7685">
        <w:rPr>
          <w:rFonts w:ascii="Times New Roman" w:eastAsia="Times New Roman" w:hAnsi="Times New Roman" w:cs="Times New Roman"/>
          <w:i/>
          <w:sz w:val="20"/>
          <w:szCs w:val="20"/>
        </w:rPr>
        <w:t xml:space="preserve">The Practice of Statistics, </w:t>
      </w:r>
      <w:r>
        <w:rPr>
          <w:rFonts w:ascii="Times New Roman" w:eastAsia="Times New Roman" w:hAnsi="Times New Roman" w:cs="Times New Roman"/>
          <w:sz w:val="20"/>
          <w:szCs w:val="20"/>
        </w:rPr>
        <w:t xml:space="preserve">5th edition, by </w:t>
      </w:r>
      <w:r w:rsidRPr="00EE7685">
        <w:rPr>
          <w:rFonts w:ascii="Times New Roman" w:eastAsia="Times New Roman" w:hAnsi="Times New Roman" w:cs="Times New Roman"/>
          <w:sz w:val="20"/>
          <w:szCs w:val="20"/>
        </w:rPr>
        <w:t>Starnes,</w:t>
      </w:r>
      <w:r>
        <w:rPr>
          <w:rFonts w:ascii="Times New Roman" w:eastAsia="Times New Roman" w:hAnsi="Times New Roman" w:cs="Times New Roman"/>
          <w:sz w:val="20"/>
          <w:szCs w:val="20"/>
        </w:rPr>
        <w:t xml:space="preserve"> Tabor, Yates, and Moore,</w:t>
      </w:r>
      <w:r w:rsidRPr="00EE7685">
        <w:rPr>
          <w:rFonts w:ascii="Times New Roman" w:eastAsia="Times New Roman" w:hAnsi="Times New Roman" w:cs="Times New Roman"/>
          <w:sz w:val="20"/>
          <w:szCs w:val="20"/>
        </w:rPr>
        <w:t xml:space="preserve"> W. H. Freeman and Co.</w:t>
      </w:r>
      <w:r>
        <w:rPr>
          <w:rFonts w:ascii="Times New Roman" w:eastAsia="Times New Roman" w:hAnsi="Times New Roman" w:cs="Times New Roman"/>
          <w:sz w:val="20"/>
          <w:szCs w:val="20"/>
        </w:rPr>
        <w:t>, in publication</w:t>
      </w: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 “subliminal” message is below our threshold of awareness but may nonetheless influence us.  Can subliminal messages help students learn math? A group of 18 students who had failed the mathematics part of the City University of New York Skills Assessment Test agreed to participate in a study to find out. All received a daily subliminal message, flashed on a screen too rapidly to be consciously read.  The treatment group of 10 students (assigned at random) was exposed to “Each day I am getting better in math.”  The control group of 8 students was exposed to a neutral message, “People are walking on the street.”  All 18 students participated in a summer program designed to raise their math skills, and all took the assessment test again at the end of the program.  The table below gives data on the subjects’ scores before and after the program.</w:t>
      </w: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 xml:space="preserve">       Mathematics skills scores before and after a subliminal message</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   Treatment Group</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  Control Group </w:t>
      </w:r>
    </w:p>
    <w:p w:rsidR="00EE7685" w:rsidRPr="00EE7685" w:rsidRDefault="00EE7685" w:rsidP="00EE7685">
      <w:pPr>
        <w:spacing w:after="0" w:line="240" w:lineRule="auto"/>
        <w:ind w:firstLine="720"/>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 xml:space="preserve">        Pre-test</w:t>
      </w:r>
      <w:r w:rsidRPr="00EE7685">
        <w:rPr>
          <w:rFonts w:ascii="Times New Roman" w:eastAsia="Times New Roman" w:hAnsi="Times New Roman" w:cs="Times New Roman"/>
          <w:sz w:val="24"/>
          <w:szCs w:val="24"/>
        </w:rPr>
        <w:tab/>
        <w:t xml:space="preserve">        Post-test</w:t>
      </w:r>
      <w:r w:rsidRPr="00EE7685">
        <w:rPr>
          <w:rFonts w:ascii="Times New Roman" w:eastAsia="Times New Roman" w:hAnsi="Times New Roman" w:cs="Times New Roman"/>
          <w:sz w:val="24"/>
          <w:szCs w:val="24"/>
        </w:rPr>
        <w:tab/>
        <w:t xml:space="preserve">                    Pre-test</w:t>
      </w:r>
      <w:r w:rsidRPr="00EE7685">
        <w:rPr>
          <w:rFonts w:ascii="Times New Roman" w:eastAsia="Times New Roman" w:hAnsi="Times New Roman" w:cs="Times New Roman"/>
          <w:sz w:val="24"/>
          <w:szCs w:val="24"/>
        </w:rPr>
        <w:tab/>
        <w:t xml:space="preserve">       Post-test</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18</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24</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18</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29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18</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25</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24</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29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21</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33</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20</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24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18</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29</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18</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26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18</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33</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24</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38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20</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36</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22</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27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23</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34</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15</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22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23</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36</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19</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31 </w:t>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21</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34</w:t>
      </w:r>
      <w:r w:rsidRPr="00EE7685">
        <w:rPr>
          <w:rFonts w:ascii="Times New Roman" w:eastAsia="Times New Roman" w:hAnsi="Times New Roman" w:cs="Times New Roman"/>
          <w:sz w:val="24"/>
          <w:szCs w:val="24"/>
        </w:rPr>
        <w:tab/>
      </w: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17</w:t>
      </w:r>
      <w:r w:rsidRPr="00EE7685">
        <w:rPr>
          <w:rFonts w:ascii="Times New Roman" w:eastAsia="Times New Roman" w:hAnsi="Times New Roman" w:cs="Times New Roman"/>
          <w:sz w:val="24"/>
          <w:szCs w:val="24"/>
        </w:rPr>
        <w:tab/>
      </w:r>
      <w:r w:rsidRPr="00EE7685">
        <w:rPr>
          <w:rFonts w:ascii="Times New Roman" w:eastAsia="Times New Roman" w:hAnsi="Times New Roman" w:cs="Times New Roman"/>
          <w:sz w:val="24"/>
          <w:szCs w:val="24"/>
        </w:rPr>
        <w:tab/>
        <w:t xml:space="preserve">27 </w:t>
      </w:r>
    </w:p>
    <w:p w:rsidR="00EE7685" w:rsidRPr="00EE7685" w:rsidRDefault="00EE7685" w:rsidP="00EE7685">
      <w:pPr>
        <w:spacing w:after="0" w:line="240" w:lineRule="auto"/>
        <w:rPr>
          <w:rFonts w:ascii="Times New Roman" w:eastAsia="Times New Roman" w:hAnsi="Times New Roman" w:cs="Times New Roman"/>
          <w:sz w:val="20"/>
          <w:szCs w:val="20"/>
        </w:rPr>
      </w:pPr>
      <w:r w:rsidRPr="00EE7685">
        <w:rPr>
          <w:rFonts w:ascii="Times New Roman" w:eastAsia="Times New Roman" w:hAnsi="Times New Roman" w:cs="Times New Roman"/>
          <w:i/>
          <w:sz w:val="20"/>
          <w:szCs w:val="20"/>
        </w:rPr>
        <w:t>Source:</w:t>
      </w:r>
      <w:r w:rsidRPr="00EE7685">
        <w:rPr>
          <w:rFonts w:ascii="Times New Roman" w:eastAsia="Times New Roman" w:hAnsi="Times New Roman" w:cs="Times New Roman"/>
          <w:sz w:val="20"/>
          <w:szCs w:val="20"/>
        </w:rPr>
        <w:t xml:space="preserve"> Data provided by Warren Page, </w:t>
      </w:r>
      <w:smartTag w:uri="urn:schemas-microsoft-com:office:smarttags" w:element="place">
        <w:smartTag w:uri="urn:schemas-microsoft-com:office:smarttags" w:element="PlaceName">
          <w:r w:rsidRPr="00EE7685">
            <w:rPr>
              <w:rFonts w:ascii="Times New Roman" w:eastAsia="Times New Roman" w:hAnsi="Times New Roman" w:cs="Times New Roman"/>
              <w:sz w:val="20"/>
              <w:szCs w:val="20"/>
            </w:rPr>
            <w:t>New York City</w:t>
          </w:r>
        </w:smartTag>
        <w:r w:rsidRPr="00EE7685">
          <w:rPr>
            <w:rFonts w:ascii="Times New Roman" w:eastAsia="Times New Roman" w:hAnsi="Times New Roman" w:cs="Times New Roman"/>
            <w:sz w:val="20"/>
            <w:szCs w:val="20"/>
          </w:rPr>
          <w:t xml:space="preserve"> </w:t>
        </w:r>
        <w:smartTag w:uri="urn:schemas-microsoft-com:office:smarttags" w:element="PlaceName">
          <w:r w:rsidRPr="00EE7685">
            <w:rPr>
              <w:rFonts w:ascii="Times New Roman" w:eastAsia="Times New Roman" w:hAnsi="Times New Roman" w:cs="Times New Roman"/>
              <w:sz w:val="20"/>
              <w:szCs w:val="20"/>
            </w:rPr>
            <w:t>Technical</w:t>
          </w:r>
        </w:smartTag>
        <w:r w:rsidRPr="00EE7685">
          <w:rPr>
            <w:rFonts w:ascii="Times New Roman" w:eastAsia="Times New Roman" w:hAnsi="Times New Roman" w:cs="Times New Roman"/>
            <w:sz w:val="20"/>
            <w:szCs w:val="20"/>
          </w:rPr>
          <w:t xml:space="preserve"> </w:t>
        </w:r>
        <w:smartTag w:uri="urn:schemas-microsoft-com:office:smarttags" w:element="PlaceType">
          <w:r w:rsidRPr="00EE7685">
            <w:rPr>
              <w:rFonts w:ascii="Times New Roman" w:eastAsia="Times New Roman" w:hAnsi="Times New Roman" w:cs="Times New Roman"/>
              <w:sz w:val="20"/>
              <w:szCs w:val="20"/>
            </w:rPr>
            <w:t>College</w:t>
          </w:r>
        </w:smartTag>
      </w:smartTag>
      <w:r w:rsidRPr="00EE7685">
        <w:rPr>
          <w:rFonts w:ascii="Times New Roman" w:eastAsia="Times New Roman" w:hAnsi="Times New Roman" w:cs="Times New Roman"/>
          <w:sz w:val="20"/>
          <w:szCs w:val="20"/>
        </w:rPr>
        <w:t xml:space="preserve">, from a study done by John </w:t>
      </w:r>
      <w:proofErr w:type="spellStart"/>
      <w:r w:rsidRPr="00EE7685">
        <w:rPr>
          <w:rFonts w:ascii="Times New Roman" w:eastAsia="Times New Roman" w:hAnsi="Times New Roman" w:cs="Times New Roman"/>
          <w:sz w:val="20"/>
          <w:szCs w:val="20"/>
        </w:rPr>
        <w:t>Hudesman</w:t>
      </w:r>
      <w:proofErr w:type="spellEnd"/>
      <w:r w:rsidRPr="00EE7685">
        <w:rPr>
          <w:rFonts w:ascii="Times New Roman" w:eastAsia="Times New Roman" w:hAnsi="Times New Roman" w:cs="Times New Roman"/>
          <w:sz w:val="20"/>
          <w:szCs w:val="20"/>
        </w:rPr>
        <w:t>.</w:t>
      </w: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 xml:space="preserve">Do the data provide convincing evidence that the subliminal message about getting better at math results in larger increases in scores, on average, than the neutral message? </w:t>
      </w:r>
    </w:p>
    <w:p w:rsidR="00EE7685" w:rsidRPr="00EE7685" w:rsidRDefault="00EE7685" w:rsidP="00EE7685">
      <w:pPr>
        <w:spacing w:after="0" w:line="240" w:lineRule="auto"/>
        <w:rPr>
          <w:rFonts w:ascii="Times New Roman" w:eastAsia="Times New Roman" w:hAnsi="Times New Roman" w:cs="Times New Roman"/>
          <w:b/>
          <w:sz w:val="28"/>
          <w:szCs w:val="28"/>
        </w:rPr>
      </w:pPr>
      <w:r w:rsidRPr="00EE7685">
        <w:rPr>
          <w:rFonts w:ascii="Times New Roman" w:eastAsia="Times New Roman" w:hAnsi="Times New Roman" w:cs="Times New Roman"/>
          <w:b/>
          <w:sz w:val="28"/>
          <w:szCs w:val="28"/>
        </w:rPr>
        <w:br w:type="page"/>
      </w:r>
    </w:p>
    <w:p w:rsidR="00EE7685" w:rsidRPr="00EE7685" w:rsidRDefault="00EE7685" w:rsidP="00EE7685">
      <w:pPr>
        <w:spacing w:after="0" w:line="240" w:lineRule="auto"/>
        <w:rPr>
          <w:rFonts w:ascii="Times New Roman" w:eastAsia="Times New Roman" w:hAnsi="Times New Roman" w:cs="Times New Roman"/>
          <w:sz w:val="28"/>
          <w:szCs w:val="28"/>
        </w:rPr>
      </w:pPr>
      <w:r w:rsidRPr="00EE7685">
        <w:rPr>
          <w:rFonts w:ascii="Times New Roman" w:eastAsia="Times New Roman" w:hAnsi="Times New Roman" w:cs="Times New Roman"/>
          <w:sz w:val="28"/>
          <w:szCs w:val="28"/>
        </w:rPr>
        <w:lastRenderedPageBreak/>
        <w:t>Simulation of the random assignment:</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Write the 18 difference values on identical slips of paper.</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Place all 18 slips in a bag and mix them well.</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If there’s no treatment effect, then pretest scores, posttest scores, and difference values same as in original study.</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How large a difference in group means with different random assignments?</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Pull out slips one at a time until you have 10 to represent the Treatment group.  The remaining 8 slips represent the Control group.</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Calculate the difference in mean improvement scores for the two groups (Treatment – Control).  Record this value in the table below.</w:t>
      </w:r>
    </w:p>
    <w:p w:rsidR="00EE7685" w:rsidRPr="00EE7685" w:rsidRDefault="00EE7685" w:rsidP="00EE7685">
      <w:pPr>
        <w:numPr>
          <w:ilvl w:val="0"/>
          <w:numId w:val="4"/>
        </w:num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Repeat this process two more times.</w:t>
      </w:r>
    </w:p>
    <w:p w:rsidR="00EE7685" w:rsidRPr="00EE7685" w:rsidRDefault="00EE7685" w:rsidP="00EE7685">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959"/>
        <w:gridCol w:w="2055"/>
        <w:gridCol w:w="2497"/>
        <w:gridCol w:w="2497"/>
      </w:tblGrid>
      <w:tr w:rsidR="00EE7685" w:rsidRPr="00EE7685" w:rsidTr="001E671D">
        <w:tc>
          <w:tcPr>
            <w:tcW w:w="2988" w:type="dxa"/>
            <w:vAlign w:val="center"/>
          </w:tcPr>
          <w:p w:rsidR="00EE7685" w:rsidRPr="00EE7685" w:rsidRDefault="00EE7685" w:rsidP="00EE7685">
            <w:pPr>
              <w:spacing w:after="0" w:line="240" w:lineRule="auto"/>
              <w:jc w:val="center"/>
              <w:rPr>
                <w:sz w:val="24"/>
                <w:szCs w:val="24"/>
              </w:rPr>
            </w:pPr>
            <w:r w:rsidRPr="00EE7685">
              <w:rPr>
                <w:sz w:val="24"/>
                <w:szCs w:val="24"/>
              </w:rPr>
              <w:t>Trial</w:t>
            </w:r>
          </w:p>
        </w:tc>
        <w:tc>
          <w:tcPr>
            <w:tcW w:w="2088" w:type="dxa"/>
            <w:vAlign w:val="center"/>
          </w:tcPr>
          <w:p w:rsidR="00EE7685" w:rsidRPr="00EE7685" w:rsidRDefault="00EE7685" w:rsidP="00EE7685">
            <w:pPr>
              <w:spacing w:after="0" w:line="240" w:lineRule="auto"/>
              <w:jc w:val="center"/>
              <w:rPr>
                <w:sz w:val="24"/>
                <w:szCs w:val="24"/>
              </w:rPr>
            </w:pPr>
            <w:r w:rsidRPr="00EE7685">
              <w:rPr>
                <w:sz w:val="24"/>
                <w:szCs w:val="24"/>
              </w:rPr>
              <w:t>1</w:t>
            </w:r>
          </w:p>
        </w:tc>
        <w:tc>
          <w:tcPr>
            <w:tcW w:w="2538" w:type="dxa"/>
            <w:vAlign w:val="center"/>
          </w:tcPr>
          <w:p w:rsidR="00EE7685" w:rsidRPr="00EE7685" w:rsidRDefault="00EE7685" w:rsidP="00EE7685">
            <w:pPr>
              <w:spacing w:after="0" w:line="240" w:lineRule="auto"/>
              <w:jc w:val="center"/>
              <w:rPr>
                <w:sz w:val="24"/>
                <w:szCs w:val="24"/>
              </w:rPr>
            </w:pPr>
            <w:r w:rsidRPr="00EE7685">
              <w:rPr>
                <w:sz w:val="24"/>
                <w:szCs w:val="24"/>
              </w:rPr>
              <w:t>2</w:t>
            </w:r>
          </w:p>
        </w:tc>
        <w:tc>
          <w:tcPr>
            <w:tcW w:w="2538" w:type="dxa"/>
            <w:vAlign w:val="center"/>
          </w:tcPr>
          <w:p w:rsidR="00EE7685" w:rsidRPr="00EE7685" w:rsidRDefault="00EE7685" w:rsidP="00EE7685">
            <w:pPr>
              <w:spacing w:after="0" w:line="240" w:lineRule="auto"/>
              <w:jc w:val="center"/>
              <w:rPr>
                <w:sz w:val="24"/>
                <w:szCs w:val="24"/>
              </w:rPr>
            </w:pPr>
            <w:r w:rsidRPr="00EE7685">
              <w:rPr>
                <w:sz w:val="24"/>
                <w:szCs w:val="24"/>
              </w:rPr>
              <w:t>3</w:t>
            </w:r>
          </w:p>
        </w:tc>
      </w:tr>
      <w:tr w:rsidR="00EE7685" w:rsidRPr="00EE7685" w:rsidTr="001E671D">
        <w:tc>
          <w:tcPr>
            <w:tcW w:w="2988" w:type="dxa"/>
            <w:vAlign w:val="center"/>
          </w:tcPr>
          <w:p w:rsidR="00EE7685" w:rsidRPr="00EE7685" w:rsidRDefault="00EE7685" w:rsidP="00EE7685">
            <w:pPr>
              <w:spacing w:after="0" w:line="240" w:lineRule="auto"/>
              <w:jc w:val="center"/>
              <w:rPr>
                <w:sz w:val="24"/>
                <w:szCs w:val="24"/>
              </w:rPr>
            </w:pPr>
            <w:r w:rsidRPr="00EE7685">
              <w:rPr>
                <w:sz w:val="24"/>
                <w:szCs w:val="24"/>
              </w:rPr>
              <w:t>Difference in mean improvement scores (T – C)</w:t>
            </w:r>
          </w:p>
        </w:tc>
        <w:tc>
          <w:tcPr>
            <w:tcW w:w="2088" w:type="dxa"/>
            <w:vAlign w:val="center"/>
          </w:tcPr>
          <w:p w:rsidR="00EE7685" w:rsidRPr="00EE7685" w:rsidRDefault="00EE7685" w:rsidP="00EE7685">
            <w:pPr>
              <w:spacing w:after="0" w:line="240" w:lineRule="auto"/>
              <w:jc w:val="center"/>
              <w:rPr>
                <w:sz w:val="24"/>
                <w:szCs w:val="24"/>
              </w:rPr>
            </w:pPr>
          </w:p>
        </w:tc>
        <w:tc>
          <w:tcPr>
            <w:tcW w:w="2538" w:type="dxa"/>
            <w:vAlign w:val="center"/>
          </w:tcPr>
          <w:p w:rsidR="00EE7685" w:rsidRPr="00EE7685" w:rsidRDefault="00EE7685" w:rsidP="00EE7685">
            <w:pPr>
              <w:spacing w:after="0" w:line="240" w:lineRule="auto"/>
              <w:jc w:val="center"/>
              <w:rPr>
                <w:sz w:val="24"/>
                <w:szCs w:val="24"/>
              </w:rPr>
            </w:pPr>
          </w:p>
        </w:tc>
        <w:tc>
          <w:tcPr>
            <w:tcW w:w="2538" w:type="dxa"/>
            <w:vAlign w:val="center"/>
          </w:tcPr>
          <w:p w:rsidR="00EE7685" w:rsidRPr="00EE7685" w:rsidRDefault="00EE7685" w:rsidP="00EE7685">
            <w:pPr>
              <w:spacing w:after="0" w:line="240" w:lineRule="auto"/>
              <w:jc w:val="center"/>
              <w:rPr>
                <w:sz w:val="24"/>
                <w:szCs w:val="24"/>
              </w:rPr>
            </w:pPr>
          </w:p>
        </w:tc>
      </w:tr>
    </w:tbl>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8"/>
          <w:szCs w:val="28"/>
        </w:rPr>
        <w:t xml:space="preserve">Combine results: </w:t>
      </w:r>
      <w:r w:rsidRPr="00EE7685">
        <w:rPr>
          <w:rFonts w:ascii="Times New Roman" w:eastAsia="Times New Roman" w:hAnsi="Times New Roman" w:cs="Times New Roman"/>
          <w:sz w:val="24"/>
          <w:szCs w:val="24"/>
        </w:rPr>
        <w:t>How often did a difference as large as or larger than the one observed in the study (</w:t>
      </w:r>
      <m:oMath>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Cambria Math" w:cs="Times New Roman"/>
                <w:sz w:val="24"/>
                <w:szCs w:val="24"/>
              </w:rPr>
              <m:t>C</m:t>
            </m:r>
          </m:sub>
        </m:sSub>
        <m:r>
          <w:rPr>
            <w:rFonts w:ascii="Cambria Math" w:eastAsia="Times New Roman" w:hAnsi="Cambria Math" w:cs="Times New Roman"/>
            <w:sz w:val="24"/>
            <w:szCs w:val="24"/>
          </w:rPr>
          <m:t>=3.15</m:t>
        </m:r>
      </m:oMath>
      <w:r w:rsidRPr="00EE7685">
        <w:rPr>
          <w:rFonts w:ascii="Times New Roman" w:eastAsia="Times New Roman" w:hAnsi="Times New Roman" w:cs="Times New Roman"/>
          <w:sz w:val="24"/>
          <w:szCs w:val="24"/>
        </w:rPr>
        <w:t>) occur just due to the chance involved in the random assignment?</w:t>
      </w: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4"/>
          <w:szCs w:val="24"/>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EE7685" w:rsidRPr="00EE7685" w:rsidRDefault="00EE7685" w:rsidP="00EE7685">
      <w:pPr>
        <w:spacing w:after="0" w:line="240" w:lineRule="auto"/>
        <w:rPr>
          <w:rFonts w:ascii="Times New Roman" w:eastAsia="Times New Roman" w:hAnsi="Times New Roman" w:cs="Times New Roman"/>
          <w:sz w:val="28"/>
          <w:szCs w:val="28"/>
        </w:rPr>
      </w:pPr>
    </w:p>
    <w:p w:rsidR="0006103B" w:rsidRPr="00F2688B" w:rsidRDefault="00EE7685" w:rsidP="00EE7685">
      <w:pPr>
        <w:spacing w:after="0" w:line="240" w:lineRule="auto"/>
        <w:rPr>
          <w:rFonts w:ascii="Times New Roman" w:eastAsia="Times New Roman" w:hAnsi="Times New Roman" w:cs="Times New Roman"/>
          <w:sz w:val="24"/>
          <w:szCs w:val="24"/>
        </w:rPr>
      </w:pPr>
      <w:r w:rsidRPr="00EE7685">
        <w:rPr>
          <w:rFonts w:ascii="Times New Roman" w:eastAsia="Times New Roman" w:hAnsi="Times New Roman" w:cs="Times New Roman"/>
          <w:sz w:val="24"/>
          <w:szCs w:val="24"/>
        </w:rPr>
        <w:tab/>
        <w:t xml:space="preserve">         </w:t>
      </w:r>
    </w:p>
    <w:sectPr w:rsidR="0006103B" w:rsidRPr="00F2688B" w:rsidSect="000215E2">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altName w:val="MS Mincho"/>
    <w:panose1 w:val="00000000000000000000"/>
    <w:charset w:val="80"/>
    <w:family w:val="auto"/>
    <w:notTrueType/>
    <w:pitch w:val="default"/>
    <w:sig w:usb0="00000001" w:usb1="08070000" w:usb2="00000010" w:usb3="00000000" w:csb0="00020000" w:csb1="00000000"/>
  </w:font>
  <w:font w:name="Gotham-Book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514"/>
    <w:multiLevelType w:val="hybridMultilevel"/>
    <w:tmpl w:val="6A163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132B70"/>
    <w:multiLevelType w:val="hybridMultilevel"/>
    <w:tmpl w:val="1D7A5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2161FF"/>
    <w:multiLevelType w:val="hybridMultilevel"/>
    <w:tmpl w:val="0D609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1518AA"/>
    <w:multiLevelType w:val="hybridMultilevel"/>
    <w:tmpl w:val="315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A3B27"/>
    <w:multiLevelType w:val="hybridMultilevel"/>
    <w:tmpl w:val="8CBA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3B"/>
    <w:rsid w:val="000215E2"/>
    <w:rsid w:val="0006103B"/>
    <w:rsid w:val="00071E46"/>
    <w:rsid w:val="001306BD"/>
    <w:rsid w:val="00297AE7"/>
    <w:rsid w:val="004F14A4"/>
    <w:rsid w:val="005D7A76"/>
    <w:rsid w:val="006D6992"/>
    <w:rsid w:val="007D1C1A"/>
    <w:rsid w:val="00924262"/>
    <w:rsid w:val="009D460B"/>
    <w:rsid w:val="00A8330E"/>
    <w:rsid w:val="00B87080"/>
    <w:rsid w:val="00CE1D64"/>
    <w:rsid w:val="00CF55EC"/>
    <w:rsid w:val="00D025E5"/>
    <w:rsid w:val="00E75CA8"/>
    <w:rsid w:val="00E873CE"/>
    <w:rsid w:val="00EE7685"/>
    <w:rsid w:val="00F2688B"/>
    <w:rsid w:val="00F74835"/>
    <w:rsid w:val="00F8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E5"/>
    <w:pPr>
      <w:ind w:left="720"/>
      <w:contextualSpacing/>
    </w:pPr>
  </w:style>
  <w:style w:type="paragraph" w:styleId="BalloonText">
    <w:name w:val="Balloon Text"/>
    <w:basedOn w:val="Normal"/>
    <w:link w:val="BalloonTextChar"/>
    <w:uiPriority w:val="99"/>
    <w:semiHidden/>
    <w:unhideWhenUsed/>
    <w:rsid w:val="006D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92"/>
    <w:rPr>
      <w:rFonts w:ascii="Tahoma" w:hAnsi="Tahoma" w:cs="Tahoma"/>
      <w:sz w:val="16"/>
      <w:szCs w:val="16"/>
    </w:rPr>
  </w:style>
  <w:style w:type="character" w:styleId="Hyperlink">
    <w:name w:val="Hyperlink"/>
    <w:basedOn w:val="DefaultParagraphFont"/>
    <w:uiPriority w:val="99"/>
    <w:unhideWhenUsed/>
    <w:rsid w:val="000215E2"/>
    <w:rPr>
      <w:color w:val="0000FF" w:themeColor="hyperlink"/>
      <w:u w:val="single"/>
    </w:rPr>
  </w:style>
  <w:style w:type="table" w:styleId="TableGrid">
    <w:name w:val="Table Grid"/>
    <w:basedOn w:val="TableNormal"/>
    <w:rsid w:val="00EE768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E5"/>
    <w:pPr>
      <w:ind w:left="720"/>
      <w:contextualSpacing/>
    </w:pPr>
  </w:style>
  <w:style w:type="paragraph" w:styleId="BalloonText">
    <w:name w:val="Balloon Text"/>
    <w:basedOn w:val="Normal"/>
    <w:link w:val="BalloonTextChar"/>
    <w:uiPriority w:val="99"/>
    <w:semiHidden/>
    <w:unhideWhenUsed/>
    <w:rsid w:val="006D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92"/>
    <w:rPr>
      <w:rFonts w:ascii="Tahoma" w:hAnsi="Tahoma" w:cs="Tahoma"/>
      <w:sz w:val="16"/>
      <w:szCs w:val="16"/>
    </w:rPr>
  </w:style>
  <w:style w:type="character" w:styleId="Hyperlink">
    <w:name w:val="Hyperlink"/>
    <w:basedOn w:val="DefaultParagraphFont"/>
    <w:uiPriority w:val="99"/>
    <w:unhideWhenUsed/>
    <w:rsid w:val="000215E2"/>
    <w:rPr>
      <w:color w:val="0000FF" w:themeColor="hyperlink"/>
      <w:u w:val="single"/>
    </w:rPr>
  </w:style>
  <w:style w:type="table" w:styleId="TableGrid">
    <w:name w:val="Table Grid"/>
    <w:basedOn w:val="TableNormal"/>
    <w:rsid w:val="00EE768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arnes@lawrencevil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 Starnes</dc:creator>
  <cp:lastModifiedBy>Daren Starnes</cp:lastModifiedBy>
  <cp:revision>2</cp:revision>
  <cp:lastPrinted>2012-11-05T16:55:00Z</cp:lastPrinted>
  <dcterms:created xsi:type="dcterms:W3CDTF">2013-11-01T22:46:00Z</dcterms:created>
  <dcterms:modified xsi:type="dcterms:W3CDTF">2013-11-01T22:46:00Z</dcterms:modified>
</cp:coreProperties>
</file>